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DA" w:rsidRPr="008950A0" w:rsidRDefault="00D70CDA" w:rsidP="00D70CDA">
      <w:pPr>
        <w:autoSpaceDE/>
        <w:jc w:val="center"/>
        <w:rPr>
          <w:b/>
          <w:szCs w:val="20"/>
        </w:rPr>
      </w:pPr>
      <w:r w:rsidRPr="008950A0">
        <w:rPr>
          <w:b/>
          <w:szCs w:val="20"/>
        </w:rPr>
        <w:t>Аналитическая справка о</w:t>
      </w:r>
    </w:p>
    <w:p w:rsidR="00D70CDA" w:rsidRPr="008950A0" w:rsidRDefault="00D70CDA" w:rsidP="00D70CDA">
      <w:pPr>
        <w:autoSpaceDE/>
        <w:jc w:val="center"/>
        <w:rPr>
          <w:b/>
          <w:bCs/>
        </w:rPr>
      </w:pPr>
      <w:r w:rsidRPr="008950A0">
        <w:rPr>
          <w:b/>
          <w:szCs w:val="20"/>
        </w:rPr>
        <w:t xml:space="preserve"> рассмотрении обращений граждан</w:t>
      </w:r>
      <w:r w:rsidRPr="008950A0">
        <w:rPr>
          <w:b/>
          <w:bCs/>
        </w:rPr>
        <w:t xml:space="preserve"> в Министерстве по делам </w:t>
      </w:r>
      <w:proofErr w:type="gramStart"/>
      <w:r w:rsidRPr="008950A0">
        <w:rPr>
          <w:b/>
          <w:bCs/>
        </w:rPr>
        <w:t>гражданской</w:t>
      </w:r>
      <w:proofErr w:type="gramEnd"/>
    </w:p>
    <w:p w:rsidR="00D70CDA" w:rsidRPr="008950A0" w:rsidRDefault="00D70CDA" w:rsidP="00D70CDA">
      <w:pPr>
        <w:autoSpaceDE/>
        <w:jc w:val="center"/>
        <w:rPr>
          <w:b/>
          <w:szCs w:val="24"/>
        </w:rPr>
      </w:pPr>
      <w:r w:rsidRPr="008950A0">
        <w:rPr>
          <w:b/>
          <w:szCs w:val="24"/>
        </w:rPr>
        <w:t>обороны и чрезвычайным ситуациям Республики Татарстан</w:t>
      </w:r>
    </w:p>
    <w:p w:rsidR="00D70CDA" w:rsidRPr="008950A0" w:rsidRDefault="00D70CDA" w:rsidP="00D70CDA">
      <w:pPr>
        <w:autoSpaceDE/>
        <w:jc w:val="center"/>
        <w:rPr>
          <w:b/>
          <w:szCs w:val="24"/>
        </w:rPr>
      </w:pPr>
      <w:r w:rsidRPr="008950A0">
        <w:rPr>
          <w:b/>
          <w:szCs w:val="24"/>
        </w:rPr>
        <w:t>за 6 месяцев 202</w:t>
      </w:r>
      <w:r w:rsidR="0050530C">
        <w:rPr>
          <w:b/>
          <w:szCs w:val="24"/>
        </w:rPr>
        <w:t>5</w:t>
      </w:r>
      <w:r w:rsidRPr="008950A0">
        <w:rPr>
          <w:b/>
          <w:szCs w:val="24"/>
        </w:rPr>
        <w:t xml:space="preserve"> года</w:t>
      </w:r>
    </w:p>
    <w:p w:rsidR="00D70CDA" w:rsidRPr="008950A0" w:rsidRDefault="00D70CDA" w:rsidP="00D70CDA">
      <w:pPr>
        <w:autoSpaceDE/>
        <w:jc w:val="center"/>
        <w:rPr>
          <w:b/>
          <w:szCs w:val="24"/>
        </w:rPr>
      </w:pPr>
      <w:r w:rsidRPr="008950A0">
        <w:rPr>
          <w:b/>
          <w:szCs w:val="24"/>
        </w:rPr>
        <w:t xml:space="preserve"> 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>За 6 месяцев 202</w:t>
      </w:r>
      <w:r w:rsidR="0050530C">
        <w:rPr>
          <w:szCs w:val="24"/>
        </w:rPr>
        <w:t>5</w:t>
      </w:r>
      <w:r w:rsidRPr="008950A0">
        <w:rPr>
          <w:szCs w:val="24"/>
        </w:rPr>
        <w:t xml:space="preserve"> года </w:t>
      </w:r>
      <w:r w:rsidR="006B08FF">
        <w:rPr>
          <w:szCs w:val="24"/>
        </w:rPr>
        <w:t>в адрес Министерства поступило 3</w:t>
      </w:r>
      <w:r w:rsidR="005B7AD8">
        <w:rPr>
          <w:szCs w:val="24"/>
        </w:rPr>
        <w:t>1</w:t>
      </w:r>
      <w:r w:rsidR="005A219B">
        <w:rPr>
          <w:szCs w:val="24"/>
        </w:rPr>
        <w:t>0</w:t>
      </w:r>
      <w:r w:rsidRPr="008950A0">
        <w:rPr>
          <w:szCs w:val="24"/>
        </w:rPr>
        <w:t xml:space="preserve"> обращени</w:t>
      </w:r>
      <w:r w:rsidR="005B7AD8">
        <w:rPr>
          <w:szCs w:val="24"/>
        </w:rPr>
        <w:t>й</w:t>
      </w:r>
      <w:r>
        <w:rPr>
          <w:szCs w:val="24"/>
        </w:rPr>
        <w:t xml:space="preserve"> граждан </w:t>
      </w:r>
      <w:r w:rsidRPr="008950A0">
        <w:rPr>
          <w:szCs w:val="24"/>
        </w:rPr>
        <w:t>(за аналогичный период 202</w:t>
      </w:r>
      <w:r w:rsidR="005B7AD8">
        <w:rPr>
          <w:szCs w:val="24"/>
        </w:rPr>
        <w:t>4</w:t>
      </w:r>
      <w:r w:rsidRPr="008950A0">
        <w:rPr>
          <w:szCs w:val="24"/>
        </w:rPr>
        <w:t xml:space="preserve"> года </w:t>
      </w:r>
      <w:r w:rsidR="005B7AD8">
        <w:rPr>
          <w:szCs w:val="24"/>
        </w:rPr>
        <w:t>330</w:t>
      </w:r>
      <w:r>
        <w:rPr>
          <w:szCs w:val="24"/>
        </w:rPr>
        <w:t xml:space="preserve"> обращени</w:t>
      </w:r>
      <w:r w:rsidR="006B08FF">
        <w:rPr>
          <w:szCs w:val="24"/>
        </w:rPr>
        <w:t>я</w:t>
      </w:r>
      <w:r>
        <w:rPr>
          <w:szCs w:val="24"/>
        </w:rPr>
        <w:t xml:space="preserve">), </w:t>
      </w:r>
      <w:r w:rsidR="005A219B">
        <w:rPr>
          <w:szCs w:val="24"/>
        </w:rPr>
        <w:t>все</w:t>
      </w:r>
      <w:r w:rsidR="00AB120D">
        <w:rPr>
          <w:szCs w:val="24"/>
        </w:rPr>
        <w:t xml:space="preserve"> обращени</w:t>
      </w:r>
      <w:r w:rsidR="005A219B">
        <w:rPr>
          <w:szCs w:val="24"/>
        </w:rPr>
        <w:t>я</w:t>
      </w:r>
      <w:r w:rsidR="00AB120D">
        <w:rPr>
          <w:szCs w:val="24"/>
        </w:rPr>
        <w:t xml:space="preserve"> письменные</w:t>
      </w:r>
      <w:r w:rsidRPr="008950A0">
        <w:rPr>
          <w:szCs w:val="24"/>
        </w:rPr>
        <w:t xml:space="preserve">. </w:t>
      </w:r>
      <w:r>
        <w:rPr>
          <w:szCs w:val="24"/>
        </w:rPr>
        <w:t>Ч</w:t>
      </w:r>
      <w:r w:rsidRPr="008950A0">
        <w:rPr>
          <w:szCs w:val="24"/>
        </w:rPr>
        <w:t xml:space="preserve">ерез Интернет-приемную </w:t>
      </w:r>
      <w:r>
        <w:rPr>
          <w:szCs w:val="24"/>
        </w:rPr>
        <w:t>поступило 1</w:t>
      </w:r>
      <w:r w:rsidR="005B7AD8">
        <w:rPr>
          <w:szCs w:val="24"/>
        </w:rPr>
        <w:t>4</w:t>
      </w:r>
      <w:r w:rsidR="00B268BD">
        <w:rPr>
          <w:szCs w:val="24"/>
        </w:rPr>
        <w:t>5</w:t>
      </w:r>
      <w:r w:rsidR="005B7AD8">
        <w:rPr>
          <w:szCs w:val="24"/>
        </w:rPr>
        <w:t xml:space="preserve"> обращения</w:t>
      </w:r>
      <w:r w:rsidRPr="008950A0">
        <w:rPr>
          <w:szCs w:val="24"/>
        </w:rPr>
        <w:t xml:space="preserve">, что на </w:t>
      </w:r>
      <w:r w:rsidR="00B268BD">
        <w:rPr>
          <w:szCs w:val="24"/>
        </w:rPr>
        <w:t>7</w:t>
      </w:r>
      <w:bookmarkStart w:id="0" w:name="_GoBack"/>
      <w:bookmarkEnd w:id="0"/>
      <w:r w:rsidRPr="008950A0">
        <w:rPr>
          <w:szCs w:val="24"/>
        </w:rPr>
        <w:t xml:space="preserve">% </w:t>
      </w:r>
      <w:r w:rsidR="00F122CB">
        <w:rPr>
          <w:szCs w:val="24"/>
        </w:rPr>
        <w:t>меньше</w:t>
      </w:r>
      <w:r w:rsidRPr="008950A0">
        <w:rPr>
          <w:szCs w:val="24"/>
        </w:rPr>
        <w:t xml:space="preserve"> чем за аналогичный период</w:t>
      </w:r>
      <w:r>
        <w:rPr>
          <w:szCs w:val="24"/>
        </w:rPr>
        <w:t xml:space="preserve"> </w:t>
      </w:r>
      <w:r w:rsidRPr="008950A0">
        <w:rPr>
          <w:szCs w:val="24"/>
        </w:rPr>
        <w:t>202</w:t>
      </w:r>
      <w:r w:rsidR="005B7AD8">
        <w:rPr>
          <w:szCs w:val="24"/>
        </w:rPr>
        <w:t>4</w:t>
      </w:r>
      <w:r w:rsidRPr="008950A0">
        <w:rPr>
          <w:szCs w:val="24"/>
        </w:rPr>
        <w:t xml:space="preserve"> года (1</w:t>
      </w:r>
      <w:r w:rsidR="005B7AD8">
        <w:rPr>
          <w:szCs w:val="24"/>
        </w:rPr>
        <w:t>56</w:t>
      </w:r>
      <w:r w:rsidRPr="008950A0">
        <w:rPr>
          <w:szCs w:val="24"/>
        </w:rPr>
        <w:t xml:space="preserve"> обращений).  Зарегистрированы </w:t>
      </w:r>
      <w:r w:rsidR="000C2949">
        <w:rPr>
          <w:szCs w:val="24"/>
        </w:rPr>
        <w:t>4</w:t>
      </w:r>
      <w:r w:rsidRPr="008950A0">
        <w:rPr>
          <w:szCs w:val="24"/>
        </w:rPr>
        <w:t xml:space="preserve"> </w:t>
      </w:r>
      <w:proofErr w:type="gramStart"/>
      <w:r w:rsidRPr="008950A0">
        <w:rPr>
          <w:szCs w:val="24"/>
        </w:rPr>
        <w:t>коллективных</w:t>
      </w:r>
      <w:proofErr w:type="gramEnd"/>
      <w:r w:rsidRPr="008950A0">
        <w:rPr>
          <w:szCs w:val="24"/>
        </w:rPr>
        <w:t xml:space="preserve"> обращени</w:t>
      </w:r>
      <w:r w:rsidR="000C2949">
        <w:rPr>
          <w:szCs w:val="24"/>
        </w:rPr>
        <w:t>я</w:t>
      </w:r>
      <w:r w:rsidRPr="008950A0">
        <w:rPr>
          <w:szCs w:val="24"/>
        </w:rPr>
        <w:t xml:space="preserve"> (всего </w:t>
      </w:r>
      <w:r w:rsidR="000C2949">
        <w:rPr>
          <w:szCs w:val="24"/>
        </w:rPr>
        <w:t>84</w:t>
      </w:r>
      <w:r w:rsidRPr="008950A0">
        <w:rPr>
          <w:szCs w:val="24"/>
        </w:rPr>
        <w:t xml:space="preserve"> подпис</w:t>
      </w:r>
      <w:r w:rsidR="000C2949">
        <w:rPr>
          <w:szCs w:val="24"/>
        </w:rPr>
        <w:t>и</w:t>
      </w:r>
      <w:r w:rsidRPr="008950A0">
        <w:rPr>
          <w:szCs w:val="24"/>
        </w:rPr>
        <w:t xml:space="preserve">). </w:t>
      </w:r>
    </w:p>
    <w:p w:rsidR="000C2949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 xml:space="preserve">По сравнению с </w:t>
      </w:r>
      <w:r>
        <w:rPr>
          <w:szCs w:val="24"/>
          <w:lang w:val="en-US"/>
        </w:rPr>
        <w:t>I</w:t>
      </w:r>
      <w:r w:rsidRPr="008950A0">
        <w:rPr>
          <w:szCs w:val="24"/>
        </w:rPr>
        <w:t xml:space="preserve"> полугодием 202</w:t>
      </w:r>
      <w:r w:rsidR="000C2949">
        <w:rPr>
          <w:szCs w:val="24"/>
        </w:rPr>
        <w:t>4</w:t>
      </w:r>
      <w:r w:rsidRPr="008950A0">
        <w:rPr>
          <w:szCs w:val="24"/>
        </w:rPr>
        <w:t xml:space="preserve"> года количество обращений </w:t>
      </w:r>
      <w:r w:rsidR="000C2949">
        <w:rPr>
          <w:szCs w:val="24"/>
        </w:rPr>
        <w:t>уменьшилось</w:t>
      </w:r>
      <w:r>
        <w:rPr>
          <w:szCs w:val="24"/>
        </w:rPr>
        <w:t xml:space="preserve"> </w:t>
      </w:r>
      <w:r w:rsidRPr="008950A0">
        <w:rPr>
          <w:szCs w:val="24"/>
        </w:rPr>
        <w:t xml:space="preserve">на </w:t>
      </w:r>
      <w:r w:rsidR="000C2949">
        <w:rPr>
          <w:szCs w:val="24"/>
        </w:rPr>
        <w:t>6</w:t>
      </w:r>
      <w:r w:rsidRPr="008950A0">
        <w:rPr>
          <w:szCs w:val="24"/>
        </w:rPr>
        <w:t>%.</w:t>
      </w:r>
      <w:r>
        <w:rPr>
          <w:szCs w:val="24"/>
        </w:rPr>
        <w:t xml:space="preserve"> </w:t>
      </w:r>
      <w:r w:rsidR="000C2949" w:rsidRPr="000C2949">
        <w:rPr>
          <w:szCs w:val="24"/>
        </w:rPr>
        <w:t>Уменьшение количества обращений связано с проведением разъяснительной работы с населением, информированием населения о работе Министерства, проведенных мероприятиях через средства массовой информации и на сайте Министерства.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 xml:space="preserve">Из </w:t>
      </w:r>
      <w:r w:rsidR="00385F7C">
        <w:rPr>
          <w:szCs w:val="24"/>
        </w:rPr>
        <w:t>3</w:t>
      </w:r>
      <w:r w:rsidR="000C2949">
        <w:rPr>
          <w:szCs w:val="24"/>
        </w:rPr>
        <w:t>1</w:t>
      </w:r>
      <w:r w:rsidR="005A219B">
        <w:rPr>
          <w:szCs w:val="24"/>
        </w:rPr>
        <w:t>0</w:t>
      </w:r>
      <w:r w:rsidR="00385F7C">
        <w:rPr>
          <w:szCs w:val="24"/>
        </w:rPr>
        <w:t xml:space="preserve"> обращений </w:t>
      </w:r>
      <w:r w:rsidR="00E76E46">
        <w:rPr>
          <w:szCs w:val="24"/>
        </w:rPr>
        <w:t>188</w:t>
      </w:r>
      <w:r w:rsidRPr="008950A0">
        <w:rPr>
          <w:szCs w:val="24"/>
        </w:rPr>
        <w:t xml:space="preserve"> обращени</w:t>
      </w:r>
      <w:r w:rsidR="00385F7C">
        <w:rPr>
          <w:szCs w:val="24"/>
        </w:rPr>
        <w:t>й</w:t>
      </w:r>
      <w:r w:rsidRPr="008950A0">
        <w:rPr>
          <w:szCs w:val="24"/>
        </w:rPr>
        <w:t xml:space="preserve"> направлен</w:t>
      </w:r>
      <w:r w:rsidR="00E76E46">
        <w:rPr>
          <w:szCs w:val="24"/>
        </w:rPr>
        <w:t>ы</w:t>
      </w:r>
      <w:r w:rsidRPr="008950A0">
        <w:rPr>
          <w:szCs w:val="24"/>
        </w:rPr>
        <w:t xml:space="preserve"> по ведомственной принадлежности с уведомлением автора обращения, что на </w:t>
      </w:r>
      <w:r w:rsidR="00385F7C">
        <w:rPr>
          <w:szCs w:val="24"/>
        </w:rPr>
        <w:t>1</w:t>
      </w:r>
      <w:r w:rsidR="00E76E46">
        <w:rPr>
          <w:szCs w:val="24"/>
        </w:rPr>
        <w:t>2</w:t>
      </w:r>
      <w:r w:rsidRPr="008950A0">
        <w:rPr>
          <w:szCs w:val="24"/>
        </w:rPr>
        <w:t xml:space="preserve"> обращени</w:t>
      </w:r>
      <w:r>
        <w:rPr>
          <w:szCs w:val="24"/>
        </w:rPr>
        <w:t>й</w:t>
      </w:r>
      <w:r w:rsidRPr="008950A0">
        <w:rPr>
          <w:szCs w:val="24"/>
        </w:rPr>
        <w:t xml:space="preserve"> </w:t>
      </w:r>
      <w:r w:rsidR="00E76E46">
        <w:rPr>
          <w:szCs w:val="24"/>
        </w:rPr>
        <w:t>меньше</w:t>
      </w:r>
      <w:r w:rsidRPr="008950A0">
        <w:rPr>
          <w:szCs w:val="24"/>
        </w:rPr>
        <w:t xml:space="preserve"> чем в </w:t>
      </w:r>
      <w:r>
        <w:rPr>
          <w:szCs w:val="24"/>
          <w:lang w:val="en-US"/>
        </w:rPr>
        <w:t>I</w:t>
      </w:r>
      <w:r w:rsidRPr="008950A0">
        <w:rPr>
          <w:szCs w:val="24"/>
        </w:rPr>
        <w:t xml:space="preserve"> полугодии 202</w:t>
      </w:r>
      <w:r w:rsidR="00E76E46">
        <w:rPr>
          <w:szCs w:val="24"/>
        </w:rPr>
        <w:t>4</w:t>
      </w:r>
      <w:r w:rsidRPr="008950A0">
        <w:rPr>
          <w:szCs w:val="24"/>
        </w:rPr>
        <w:t xml:space="preserve"> года.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>Наи</w:t>
      </w:r>
      <w:r>
        <w:rPr>
          <w:szCs w:val="24"/>
        </w:rPr>
        <w:t xml:space="preserve">большее количество обращений в </w:t>
      </w:r>
      <w:r>
        <w:rPr>
          <w:szCs w:val="24"/>
          <w:lang w:val="en-US"/>
        </w:rPr>
        <w:t>I</w:t>
      </w:r>
      <w:r w:rsidRPr="008950A0">
        <w:rPr>
          <w:szCs w:val="24"/>
        </w:rPr>
        <w:t xml:space="preserve"> полугодии 202</w:t>
      </w:r>
      <w:r w:rsidR="00E76E46">
        <w:rPr>
          <w:szCs w:val="24"/>
        </w:rPr>
        <w:t>5</w:t>
      </w:r>
      <w:r w:rsidRPr="008950A0">
        <w:rPr>
          <w:szCs w:val="24"/>
        </w:rPr>
        <w:t xml:space="preserve"> г., так же как и в аналогичном периоде 202</w:t>
      </w:r>
      <w:r w:rsidR="00E3783B">
        <w:rPr>
          <w:szCs w:val="24"/>
        </w:rPr>
        <w:t>4</w:t>
      </w:r>
      <w:r w:rsidRPr="008950A0">
        <w:rPr>
          <w:szCs w:val="24"/>
        </w:rPr>
        <w:t xml:space="preserve"> г. поступило в тематический блок «Оборона, безопасность, законность», что обусловлено функциями и задачами Министерства.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4"/>
        <w:gridCol w:w="2126"/>
        <w:gridCol w:w="2091"/>
      </w:tblGrid>
      <w:tr w:rsidR="00D70CDA" w:rsidRPr="008950A0" w:rsidTr="00E10A15">
        <w:tc>
          <w:tcPr>
            <w:tcW w:w="6204" w:type="dxa"/>
            <w:vMerge w:val="restart"/>
          </w:tcPr>
          <w:p w:rsidR="00D70CDA" w:rsidRPr="008950A0" w:rsidRDefault="00D70CDA" w:rsidP="00E10A15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  <w:r w:rsidRPr="008950A0">
              <w:rPr>
                <w:b/>
                <w:szCs w:val="24"/>
              </w:rPr>
              <w:t>Тематика</w:t>
            </w:r>
          </w:p>
        </w:tc>
        <w:tc>
          <w:tcPr>
            <w:tcW w:w="4217" w:type="dxa"/>
            <w:gridSpan w:val="2"/>
          </w:tcPr>
          <w:p w:rsidR="00D70CDA" w:rsidRPr="008950A0" w:rsidRDefault="00D70CDA" w:rsidP="00E10A15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  <w:r w:rsidRPr="008950A0">
              <w:rPr>
                <w:b/>
                <w:szCs w:val="24"/>
              </w:rPr>
              <w:t>% от общего числа обращений</w:t>
            </w:r>
          </w:p>
        </w:tc>
      </w:tr>
      <w:tr w:rsidR="00D70CDA" w:rsidRPr="008950A0" w:rsidTr="00E10A15">
        <w:tc>
          <w:tcPr>
            <w:tcW w:w="6204" w:type="dxa"/>
            <w:vMerge/>
          </w:tcPr>
          <w:p w:rsidR="00D70CDA" w:rsidRPr="008950A0" w:rsidRDefault="00D70CDA" w:rsidP="00E10A15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D70CDA" w:rsidRPr="008950A0" w:rsidRDefault="00D70CDA" w:rsidP="00E76E46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I</w:t>
            </w:r>
            <w:r>
              <w:rPr>
                <w:b/>
                <w:szCs w:val="24"/>
              </w:rPr>
              <w:t xml:space="preserve"> полугодие 202</w:t>
            </w:r>
            <w:r w:rsidR="00E76E46">
              <w:rPr>
                <w:b/>
                <w:szCs w:val="24"/>
              </w:rPr>
              <w:t>4</w:t>
            </w:r>
            <w:r w:rsidRPr="008950A0">
              <w:rPr>
                <w:b/>
                <w:szCs w:val="24"/>
              </w:rPr>
              <w:t xml:space="preserve"> г</w:t>
            </w:r>
          </w:p>
        </w:tc>
        <w:tc>
          <w:tcPr>
            <w:tcW w:w="2091" w:type="dxa"/>
          </w:tcPr>
          <w:p w:rsidR="00D70CDA" w:rsidRPr="008950A0" w:rsidRDefault="00D70CDA" w:rsidP="00E76E46">
            <w:pPr>
              <w:autoSpaceDE/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I</w:t>
            </w:r>
            <w:r w:rsidRPr="008950A0">
              <w:rPr>
                <w:b/>
                <w:szCs w:val="24"/>
              </w:rPr>
              <w:t xml:space="preserve"> полугодие 202</w:t>
            </w:r>
            <w:r w:rsidR="00E76E46">
              <w:rPr>
                <w:b/>
                <w:szCs w:val="24"/>
              </w:rPr>
              <w:t>5</w:t>
            </w:r>
            <w:r w:rsidRPr="008950A0">
              <w:rPr>
                <w:b/>
                <w:szCs w:val="24"/>
              </w:rPr>
              <w:t xml:space="preserve"> г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Государство, общество, политика</w:t>
            </w:r>
          </w:p>
        </w:tc>
        <w:tc>
          <w:tcPr>
            <w:tcW w:w="2126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27,41</w:t>
            </w:r>
          </w:p>
        </w:tc>
        <w:tc>
          <w:tcPr>
            <w:tcW w:w="2091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20,26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Жилищно-коммунальная сфера</w:t>
            </w:r>
          </w:p>
        </w:tc>
        <w:tc>
          <w:tcPr>
            <w:tcW w:w="2126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4,05</w:t>
            </w:r>
          </w:p>
        </w:tc>
        <w:tc>
          <w:tcPr>
            <w:tcW w:w="2091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6,11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Оборона, безопасность, законность</w:t>
            </w:r>
          </w:p>
        </w:tc>
        <w:tc>
          <w:tcPr>
            <w:tcW w:w="2126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44,86</w:t>
            </w:r>
          </w:p>
        </w:tc>
        <w:tc>
          <w:tcPr>
            <w:tcW w:w="2091" w:type="dxa"/>
          </w:tcPr>
          <w:p w:rsidR="00D70CDA" w:rsidRPr="008950A0" w:rsidRDefault="00E76E46" w:rsidP="00E76E46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  <w:r w:rsidR="00385F7C">
              <w:rPr>
                <w:szCs w:val="24"/>
              </w:rPr>
              <w:t>,8</w:t>
            </w:r>
            <w:r>
              <w:rPr>
                <w:szCs w:val="24"/>
              </w:rPr>
              <w:t>7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Социальная сфера</w:t>
            </w:r>
          </w:p>
        </w:tc>
        <w:tc>
          <w:tcPr>
            <w:tcW w:w="2126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8,1</w:t>
            </w:r>
          </w:p>
        </w:tc>
        <w:tc>
          <w:tcPr>
            <w:tcW w:w="2091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9,97</w:t>
            </w:r>
          </w:p>
        </w:tc>
      </w:tr>
      <w:tr w:rsidR="00D70CDA" w:rsidRPr="008950A0" w:rsidTr="00E10A15">
        <w:tc>
          <w:tcPr>
            <w:tcW w:w="6204" w:type="dxa"/>
          </w:tcPr>
          <w:p w:rsidR="00D70CDA" w:rsidRPr="008950A0" w:rsidRDefault="00D70CDA" w:rsidP="00E10A15">
            <w:pPr>
              <w:autoSpaceDE/>
              <w:spacing w:line="240" w:lineRule="atLeast"/>
              <w:jc w:val="both"/>
              <w:rPr>
                <w:szCs w:val="24"/>
              </w:rPr>
            </w:pPr>
            <w:r w:rsidRPr="008950A0">
              <w:rPr>
                <w:szCs w:val="24"/>
              </w:rPr>
              <w:t>Экономика</w:t>
            </w:r>
          </w:p>
        </w:tc>
        <w:tc>
          <w:tcPr>
            <w:tcW w:w="2126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15,58</w:t>
            </w:r>
          </w:p>
        </w:tc>
        <w:tc>
          <w:tcPr>
            <w:tcW w:w="2091" w:type="dxa"/>
          </w:tcPr>
          <w:p w:rsidR="00D70CDA" w:rsidRPr="008950A0" w:rsidRDefault="00E76E46" w:rsidP="00E10A15">
            <w:pPr>
              <w:autoSpaceDE/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23,79</w:t>
            </w:r>
          </w:p>
        </w:tc>
      </w:tr>
    </w:tbl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>Анализ содержания обращений показывает, что наибольшее количество обращений поступило по вопросам:</w:t>
      </w:r>
    </w:p>
    <w:p w:rsidR="00553183" w:rsidRDefault="00D70CDA" w:rsidP="00553183">
      <w:pPr>
        <w:autoSpaceDE/>
        <w:spacing w:line="240" w:lineRule="atLeast"/>
        <w:ind w:firstLine="709"/>
        <w:jc w:val="both"/>
      </w:pPr>
      <w:r w:rsidRPr="008950A0">
        <w:rPr>
          <w:szCs w:val="24"/>
        </w:rPr>
        <w:t>- пожарной безопасности (</w:t>
      </w:r>
      <w:r w:rsidR="00F92853">
        <w:rPr>
          <w:szCs w:val="24"/>
        </w:rPr>
        <w:t>9</w:t>
      </w:r>
      <w:r w:rsidR="001E08B3">
        <w:rPr>
          <w:szCs w:val="24"/>
        </w:rPr>
        <w:t>8</w:t>
      </w:r>
      <w:r w:rsidRPr="008950A0">
        <w:rPr>
          <w:szCs w:val="24"/>
        </w:rPr>
        <w:t xml:space="preserve"> обращени</w:t>
      </w:r>
      <w:r w:rsidR="001E08B3">
        <w:rPr>
          <w:szCs w:val="24"/>
        </w:rPr>
        <w:t>й</w:t>
      </w:r>
      <w:r w:rsidRPr="008950A0">
        <w:rPr>
          <w:szCs w:val="24"/>
        </w:rPr>
        <w:t>),</w:t>
      </w:r>
      <w:r>
        <w:rPr>
          <w:szCs w:val="24"/>
        </w:rPr>
        <w:t xml:space="preserve"> что на </w:t>
      </w:r>
      <w:r w:rsidR="001E08B3">
        <w:rPr>
          <w:szCs w:val="24"/>
        </w:rPr>
        <w:t>6</w:t>
      </w:r>
      <w:r>
        <w:rPr>
          <w:szCs w:val="24"/>
        </w:rPr>
        <w:t xml:space="preserve"> обращений </w:t>
      </w:r>
      <w:r w:rsidR="001E08B3">
        <w:rPr>
          <w:szCs w:val="24"/>
        </w:rPr>
        <w:t>больше</w:t>
      </w:r>
      <w:r>
        <w:rPr>
          <w:szCs w:val="24"/>
        </w:rPr>
        <w:t xml:space="preserve"> чем в аналогичном периоде 202</w:t>
      </w:r>
      <w:r w:rsidR="001E08B3">
        <w:rPr>
          <w:szCs w:val="24"/>
        </w:rPr>
        <w:t>4</w:t>
      </w:r>
      <w:r>
        <w:rPr>
          <w:szCs w:val="24"/>
        </w:rPr>
        <w:t xml:space="preserve"> года. Это </w:t>
      </w:r>
      <w:r w:rsidRPr="008950A0">
        <w:rPr>
          <w:szCs w:val="24"/>
        </w:rPr>
        <w:t xml:space="preserve">обусловлено, </w:t>
      </w:r>
      <w:r w:rsidR="001E08B3" w:rsidRPr="001E08B3">
        <w:rPr>
          <w:szCs w:val="24"/>
        </w:rPr>
        <w:t>ненадлежащим содержанием общедомового имущества: захламлением лестничных клеток, сужением проездов, загромождением проходов;</w:t>
      </w:r>
    </w:p>
    <w:p w:rsidR="00553183" w:rsidRDefault="00553183" w:rsidP="00D70CDA">
      <w:pPr>
        <w:autoSpaceDE/>
        <w:spacing w:line="240" w:lineRule="atLeast"/>
        <w:ind w:firstLine="709"/>
        <w:jc w:val="both"/>
      </w:pPr>
      <w:r>
        <w:t xml:space="preserve">- </w:t>
      </w:r>
      <w:r w:rsidR="001E08B3">
        <w:t>гражданской обороны (</w:t>
      </w:r>
      <w:r>
        <w:t>оповещения</w:t>
      </w:r>
      <w:r w:rsidR="007625AC">
        <w:t>,</w:t>
      </w:r>
      <w:r>
        <w:t xml:space="preserve"> СМС-информирования населения</w:t>
      </w:r>
      <w:r w:rsidR="007625AC">
        <w:t xml:space="preserve"> и </w:t>
      </w:r>
      <w:r w:rsidR="00105E34">
        <w:t>защитным сооружениям гражданской обороны)</w:t>
      </w:r>
      <w:r>
        <w:t xml:space="preserve"> – </w:t>
      </w:r>
      <w:r w:rsidR="00105E34">
        <w:t>60</w:t>
      </w:r>
      <w:r>
        <w:t xml:space="preserve"> обращени</w:t>
      </w:r>
      <w:r w:rsidR="00105E34">
        <w:t>й.</w:t>
      </w:r>
      <w:r w:rsidR="001E08B3" w:rsidRPr="001E08B3">
        <w:t xml:space="preserve"> Это обусловлено</w:t>
      </w:r>
      <w:r w:rsidR="001E08B3">
        <w:t>, объявлением режима беспилотной опасности</w:t>
      </w:r>
      <w:r>
        <w:t>;</w:t>
      </w:r>
    </w:p>
    <w:p w:rsidR="00553183" w:rsidRPr="008950A0" w:rsidRDefault="00553183" w:rsidP="00D70CDA">
      <w:pPr>
        <w:autoSpaceDE/>
        <w:spacing w:line="240" w:lineRule="atLeast"/>
        <w:ind w:firstLine="709"/>
        <w:jc w:val="both"/>
      </w:pPr>
      <w:r>
        <w:t xml:space="preserve">- оказания помощи пострадавшим от пожара </w:t>
      </w:r>
      <w:r w:rsidR="00105E34">
        <w:t xml:space="preserve">и возмещения ущерба от атаки БПЛА </w:t>
      </w:r>
      <w:r>
        <w:t xml:space="preserve">– </w:t>
      </w:r>
      <w:r w:rsidR="00105E34">
        <w:t>35</w:t>
      </w:r>
      <w:r>
        <w:t xml:space="preserve"> обращени</w:t>
      </w:r>
      <w:r w:rsidR="00105E34">
        <w:t>й.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  <w:r w:rsidRPr="008950A0">
        <w:rPr>
          <w:szCs w:val="24"/>
        </w:rPr>
        <w:t xml:space="preserve">Все обращения были приняты, зарегистрированы и рассмотрены по существу </w:t>
      </w:r>
      <w:r w:rsidR="00EC4895">
        <w:rPr>
          <w:szCs w:val="24"/>
        </w:rPr>
        <w:t>поставленных в обращении вопросов</w:t>
      </w:r>
      <w:r w:rsidRPr="008950A0">
        <w:rPr>
          <w:szCs w:val="24"/>
        </w:rPr>
        <w:t>. На каждое обращение граждан дан ответ, включающий в себя результаты рассмотрения обращения и принятое по нему решение в установленный законодательством срок в письменной форме. Большая часть ответов носит разъяснительный характер.</w:t>
      </w:r>
    </w:p>
    <w:p w:rsidR="00D70CDA" w:rsidRDefault="00D70CDA" w:rsidP="00D70CDA">
      <w:pPr>
        <w:spacing w:line="240" w:lineRule="atLeast"/>
        <w:ind w:firstLine="708"/>
        <w:jc w:val="both"/>
      </w:pPr>
      <w:r>
        <w:lastRenderedPageBreak/>
        <w:t>Личный прием граждан министром и его заместителями осуществляется по предварительной записи в единый приемный день граждан, еженедельно по вторникам с 14:00 до 16:00 часов по адресу г. Казань, ул. Ак. Губкина, д. 50.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</w:pPr>
      <w:r w:rsidRPr="008950A0">
        <w:t xml:space="preserve">Работа с обращениями граждан ведётся специально назначенными сотрудниками. Установлена ответственность должностных лиц за несвоевременное и неполное рассмотрение вопросов, поднимаемых в обращениях граждан. </w:t>
      </w:r>
    </w:p>
    <w:p w:rsidR="00D70CDA" w:rsidRDefault="00D70CDA" w:rsidP="00D70CDA">
      <w:pPr>
        <w:autoSpaceDE/>
        <w:spacing w:line="240" w:lineRule="atLeast"/>
        <w:ind w:firstLine="709"/>
        <w:jc w:val="both"/>
      </w:pPr>
      <w:r w:rsidRPr="008950A0">
        <w:t>Все обращения граждан, поступающие в Министерство, рассматриваются в соответствии с действующим Федеральным законом от 02.05.2006 № 59-ФЗ «О порядке рассмотрения обращений граждан Российской Федерации», законом Республики Татарстан от 12.05.2003 № 16-ЗРТ «Об обращениях граждан в Республике Татарстан».</w:t>
      </w:r>
    </w:p>
    <w:p w:rsidR="00D70CDA" w:rsidRDefault="00D70CDA" w:rsidP="00D70CDA">
      <w:pPr>
        <w:tabs>
          <w:tab w:val="left" w:pos="709"/>
        </w:tabs>
        <w:spacing w:line="240" w:lineRule="atLeast"/>
        <w:ind w:firstLine="720"/>
        <w:jc w:val="both"/>
      </w:pPr>
      <w:r>
        <w:t xml:space="preserve">Анализ обращений граждан, поступивших в Министерство за </w:t>
      </w:r>
      <w:r>
        <w:rPr>
          <w:lang w:val="en-US"/>
        </w:rPr>
        <w:t>I</w:t>
      </w:r>
      <w:r>
        <w:t xml:space="preserve"> полугодие 202</w:t>
      </w:r>
      <w:r w:rsidR="001E08B3">
        <w:t>5</w:t>
      </w:r>
      <w:r>
        <w:t xml:space="preserve"> г., размещен на официальном сайте в сети «Интернет» в соответствии с пунктом 23 Закона Республики Татарстан от 12 мая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№16-ЗРТ.</w:t>
      </w:r>
    </w:p>
    <w:p w:rsidR="00D70CDA" w:rsidRPr="008950A0" w:rsidRDefault="00D70CDA" w:rsidP="00D70CDA">
      <w:pPr>
        <w:autoSpaceDE/>
        <w:spacing w:line="240" w:lineRule="atLeast"/>
        <w:ind w:firstLine="709"/>
        <w:jc w:val="both"/>
        <w:rPr>
          <w:szCs w:val="24"/>
        </w:rPr>
      </w:pPr>
    </w:p>
    <w:p w:rsidR="00D70CDA" w:rsidRDefault="00D70CDA" w:rsidP="00D70CDA"/>
    <w:p w:rsidR="00B80D91" w:rsidRDefault="00B80D91"/>
    <w:sectPr w:rsidR="00B80D91" w:rsidSect="00A02908">
      <w:pgSz w:w="11907" w:h="16840" w:code="9"/>
      <w:pgMar w:top="1134" w:right="567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CDA"/>
    <w:rsid w:val="000C2949"/>
    <w:rsid w:val="00105E34"/>
    <w:rsid w:val="001B3360"/>
    <w:rsid w:val="001E08B3"/>
    <w:rsid w:val="002414F3"/>
    <w:rsid w:val="00302626"/>
    <w:rsid w:val="00324F1E"/>
    <w:rsid w:val="0032657E"/>
    <w:rsid w:val="003358D0"/>
    <w:rsid w:val="00385F7C"/>
    <w:rsid w:val="0050530C"/>
    <w:rsid w:val="00553183"/>
    <w:rsid w:val="005A219B"/>
    <w:rsid w:val="005B7AD8"/>
    <w:rsid w:val="005F6FE2"/>
    <w:rsid w:val="006B08FF"/>
    <w:rsid w:val="007625AC"/>
    <w:rsid w:val="009F37A5"/>
    <w:rsid w:val="00AB120D"/>
    <w:rsid w:val="00B268BD"/>
    <w:rsid w:val="00B80D91"/>
    <w:rsid w:val="00D70CDA"/>
    <w:rsid w:val="00E3783B"/>
    <w:rsid w:val="00E76E46"/>
    <w:rsid w:val="00EC4895"/>
    <w:rsid w:val="00F122CB"/>
    <w:rsid w:val="00F9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Федорина</dc:creator>
  <cp:lastModifiedBy>Федорина</cp:lastModifiedBy>
  <cp:revision>6</cp:revision>
  <dcterms:created xsi:type="dcterms:W3CDTF">2025-06-30T11:53:00Z</dcterms:created>
  <dcterms:modified xsi:type="dcterms:W3CDTF">2025-07-01T07:47:00Z</dcterms:modified>
</cp:coreProperties>
</file>